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CF25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522" w:type="dxa"/>
          </w:tcPr>
          <w:p w14:paraId="1CF862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21"/>
                <w:szCs w:val="21"/>
                <w:lang w:val="en-US" w:eastAsia="zh-CN"/>
              </w:rPr>
              <w:t>健康产业与医养医疗专业委员会</w:t>
            </w:r>
          </w:p>
        </w:tc>
      </w:tr>
    </w:tbl>
    <w:p w14:paraId="71DABF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lang w:val="en-US" w:eastAsia="zh-CN"/>
        </w:rPr>
      </w:pPr>
    </w:p>
    <w:p w14:paraId="3E405A56">
      <w:pPr>
        <w:jc w:val="both"/>
        <w:rPr>
          <w:rFonts w:hint="eastAsia" w:ascii="宋体" w:hAnsi="宋体" w:eastAsia="宋体" w:cs="宋体"/>
          <w:sz w:val="18"/>
          <w:szCs w:val="18"/>
          <w:lang w:eastAsia="zh-CN"/>
        </w:rPr>
      </w:pPr>
      <w:r>
        <w:rPr>
          <w:rFonts w:hint="eastAsia" w:ascii="宋体" w:hAnsi="宋体" w:eastAsia="宋体" w:cs="宋体"/>
          <w:sz w:val="18"/>
          <w:szCs w:val="18"/>
          <w:lang w:val="en-US" w:eastAsia="zh-CN"/>
        </w:rPr>
        <w:t>一、</w:t>
      </w:r>
      <w:r>
        <w:rPr>
          <w:rFonts w:hint="eastAsia" w:ascii="宋体" w:hAnsi="宋体" w:eastAsia="宋体" w:cs="宋体"/>
          <w:sz w:val="18"/>
          <w:szCs w:val="18"/>
          <w:lang w:eastAsia="zh-CN"/>
        </w:rPr>
        <w:t>健康产业与医养医疗专业委员会介绍</w:t>
      </w:r>
    </w:p>
    <w:p w14:paraId="1848652F">
      <w:pPr>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rPr>
        <w:t>甘肃合睿律师事务所是我省规模最大业务精良的律师事务所,健康产业与医养医疗法律服务是本所的特色服务和优势项目之一,合睿律师事务所专业健康产业与医养医疗纠纷律师有着多年医生执业经验，凭借医学功底和律师经验，对陇药企业、医疗机构、卫健委、医保部门提供了专业法律服务承办了多起医疗纠纷案件，切实维护了患者的合法权益</w:t>
      </w:r>
      <w:r>
        <w:rPr>
          <w:rFonts w:hint="eastAsia" w:ascii="宋体" w:hAnsi="宋体" w:eastAsia="宋体" w:cs="宋体"/>
          <w:sz w:val="18"/>
          <w:szCs w:val="18"/>
          <w:lang w:eastAsia="zh-CN"/>
        </w:rPr>
        <w:t>。</w:t>
      </w:r>
    </w:p>
    <w:p w14:paraId="07C29FF0">
      <w:pPr>
        <w:rPr>
          <w:rFonts w:hint="eastAsia" w:ascii="宋体" w:hAnsi="宋体" w:eastAsia="宋体" w:cs="宋体"/>
          <w:sz w:val="18"/>
          <w:szCs w:val="18"/>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4"/>
        <w:gridCol w:w="4868"/>
      </w:tblGrid>
      <w:tr w14:paraId="0CD4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9" w:hRule="atLeast"/>
        </w:trPr>
        <w:tc>
          <w:tcPr>
            <w:tcW w:w="3654" w:type="dxa"/>
            <w:tcBorders>
              <w:bottom w:val="nil"/>
            </w:tcBorders>
          </w:tcPr>
          <w:p w14:paraId="02280B41">
            <w:pPr>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2185035" cy="2258060"/>
                  <wp:effectExtent l="0" t="0" r="5715" b="8890"/>
                  <wp:docPr id="3" name="图片 3" descr="郑宝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郑宝鹏"/>
                          <pic:cNvPicPr>
                            <a:picLocks noChangeAspect="1"/>
                          </pic:cNvPicPr>
                        </pic:nvPicPr>
                        <pic:blipFill>
                          <a:blip r:embed="rId4"/>
                          <a:stretch>
                            <a:fillRect/>
                          </a:stretch>
                        </pic:blipFill>
                        <pic:spPr>
                          <a:xfrm>
                            <a:off x="0" y="0"/>
                            <a:ext cx="2185035" cy="2258060"/>
                          </a:xfrm>
                          <a:prstGeom prst="rect">
                            <a:avLst/>
                          </a:prstGeom>
                        </pic:spPr>
                      </pic:pic>
                    </a:graphicData>
                  </a:graphic>
                </wp:inline>
              </w:drawing>
            </w:r>
          </w:p>
        </w:tc>
        <w:tc>
          <w:tcPr>
            <w:tcW w:w="4868" w:type="dxa"/>
            <w:tcBorders>
              <w:bottom w:val="nil"/>
            </w:tcBorders>
          </w:tcPr>
          <w:p w14:paraId="1B1D8153">
            <w:pPr>
              <w:ind w:firstLine="361" w:firstLineChars="200"/>
              <w:jc w:val="left"/>
              <w:rPr>
                <w:rFonts w:hint="eastAsia" w:ascii="宋体" w:hAnsi="宋体" w:eastAsia="宋体" w:cs="宋体"/>
                <w:sz w:val="18"/>
                <w:szCs w:val="18"/>
                <w:lang w:eastAsia="zh-CN"/>
              </w:rPr>
            </w:pPr>
            <w:r>
              <w:rPr>
                <w:rFonts w:hint="eastAsia" w:ascii="宋体" w:hAnsi="宋体" w:eastAsia="宋体" w:cs="宋体"/>
                <w:b/>
                <w:bCs/>
                <w:sz w:val="18"/>
                <w:szCs w:val="18"/>
                <w:lang w:eastAsia="zh-CN"/>
              </w:rPr>
              <w:t>专业委员会主任(简介)：</w:t>
            </w:r>
          </w:p>
          <w:p w14:paraId="1C9A6F5A">
            <w:pPr>
              <w:ind w:firstLine="360" w:firstLineChars="200"/>
              <w:jc w:val="both"/>
              <w:rPr>
                <w:rFonts w:hint="eastAsia" w:ascii="宋体" w:hAnsi="宋体" w:eastAsia="宋体" w:cs="宋体"/>
                <w:sz w:val="18"/>
                <w:szCs w:val="18"/>
                <w:lang w:eastAsia="zh-CN"/>
              </w:rPr>
            </w:pPr>
          </w:p>
          <w:p w14:paraId="2D317A44">
            <w:pPr>
              <w:ind w:firstLine="360" w:firstLineChars="20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郑宝鹏律师，男，汉族，中共党员，毕业于甘肃政法大学，法学学士。现为甘肃合睿律师事务所专职律师。2018年起执业至今，2021年荣获兰州市律师行业党委“优秀共产党员”称号；2022年荣获甘肃合睿律师事务所党支部“优秀共产党员”；2023年荣获甘肃合睿律师事务所“十佳青年”以及党总支“优秀共产党员”双重荣誉。擅长政企法律顾问、人身损害、婚姻家庭、劳动争议等多个领域的法律服务。能够精准把握案件要点，为客户提供切实可行的法律建议和解决方案。此外，还为多家行政机关和企事业单位提供常年法律顾问服务。始终坚持以客户为中心，以法律为准绳，为客</w:t>
            </w:r>
          </w:p>
        </w:tc>
      </w:tr>
      <w:tr w14:paraId="69DB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nil"/>
              <w:left w:val="nil"/>
              <w:bottom w:val="nil"/>
              <w:right w:val="nil"/>
            </w:tcBorders>
          </w:tcPr>
          <w:p w14:paraId="15855FD2">
            <w:pPr>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val="en-US" w:eastAsia="zh-CN"/>
              </w:rPr>
              <w:t>户提供专业、高效、全面的法律服务。</w:t>
            </w:r>
          </w:p>
        </w:tc>
      </w:tr>
    </w:tbl>
    <w:p w14:paraId="16925134">
      <w:pPr>
        <w:ind w:firstLine="360" w:firstLineChars="200"/>
        <w:jc w:val="left"/>
        <w:rPr>
          <w:rFonts w:hint="eastAsia" w:ascii="宋体" w:hAnsi="宋体" w:eastAsia="宋体" w:cs="宋体"/>
          <w:sz w:val="18"/>
          <w:szCs w:val="18"/>
          <w:lang w:eastAsia="zh-CN"/>
        </w:rPr>
      </w:pPr>
    </w:p>
    <w:p w14:paraId="27EECCAC">
      <w:pPr>
        <w:jc w:val="center"/>
        <w:rPr>
          <w:rFonts w:hint="eastAsia" w:ascii="宋体" w:hAnsi="宋体" w:eastAsia="宋体" w:cs="宋体"/>
          <w:sz w:val="18"/>
          <w:szCs w:val="18"/>
          <w:lang w:eastAsia="zh-CN"/>
        </w:rPr>
      </w:pPr>
    </w:p>
    <w:p w14:paraId="63A01E2F">
      <w:pPr>
        <w:jc w:val="center"/>
        <w:rPr>
          <w:rFonts w:hint="eastAsia" w:ascii="宋体" w:hAnsi="宋体" w:eastAsia="宋体" w:cs="宋体"/>
          <w:sz w:val="18"/>
          <w:szCs w:val="18"/>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26"/>
        <w:gridCol w:w="4796"/>
      </w:tblGrid>
      <w:tr w14:paraId="2B4F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2" w:hRule="atLeast"/>
        </w:trPr>
        <w:tc>
          <w:tcPr>
            <w:tcW w:w="3669" w:type="dxa"/>
          </w:tcPr>
          <w:p w14:paraId="47DD299C">
            <w:pPr>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drawing>
                <wp:inline distT="0" distB="0" distL="114300" distR="114300">
                  <wp:extent cx="2223135" cy="2223135"/>
                  <wp:effectExtent l="0" t="0" r="5715" b="5715"/>
                  <wp:docPr id="4" name="图片 4" descr="杨泽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杨泽君"/>
                          <pic:cNvPicPr>
                            <a:picLocks noChangeAspect="1"/>
                          </pic:cNvPicPr>
                        </pic:nvPicPr>
                        <pic:blipFill>
                          <a:blip r:embed="rId5"/>
                          <a:stretch>
                            <a:fillRect/>
                          </a:stretch>
                        </pic:blipFill>
                        <pic:spPr>
                          <a:xfrm>
                            <a:off x="0" y="0"/>
                            <a:ext cx="2223135" cy="2223135"/>
                          </a:xfrm>
                          <a:prstGeom prst="rect">
                            <a:avLst/>
                          </a:prstGeom>
                        </pic:spPr>
                      </pic:pic>
                    </a:graphicData>
                  </a:graphic>
                </wp:inline>
              </w:drawing>
            </w:r>
          </w:p>
        </w:tc>
        <w:tc>
          <w:tcPr>
            <w:tcW w:w="4853" w:type="dxa"/>
          </w:tcPr>
          <w:p w14:paraId="046557AD">
            <w:pPr>
              <w:ind w:firstLine="361" w:firstLineChars="200"/>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专业委员会副主任 (简介):</w:t>
            </w:r>
          </w:p>
          <w:p w14:paraId="5929F5EE">
            <w:pPr>
              <w:ind w:firstLine="360" w:firstLineChars="200"/>
              <w:jc w:val="both"/>
              <w:rPr>
                <w:rFonts w:hint="eastAsia" w:ascii="宋体" w:hAnsi="宋体" w:eastAsia="宋体" w:cs="宋体"/>
                <w:sz w:val="18"/>
                <w:szCs w:val="18"/>
              </w:rPr>
            </w:pPr>
          </w:p>
          <w:p w14:paraId="56B032DE">
            <w:pPr>
              <w:ind w:firstLine="360" w:firstLineChars="200"/>
              <w:jc w:val="both"/>
              <w:rPr>
                <w:rFonts w:hint="eastAsia" w:ascii="宋体" w:hAnsi="宋体" w:eastAsia="宋体" w:cs="宋体"/>
                <w:sz w:val="18"/>
                <w:szCs w:val="18"/>
                <w:vertAlign w:val="baseline"/>
                <w:lang w:val="en-US" w:eastAsia="zh-CN"/>
              </w:rPr>
            </w:pPr>
          </w:p>
          <w:p w14:paraId="1D714773">
            <w:pPr>
              <w:ind w:firstLine="360" w:firstLineChars="20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杨泽君，男，汉族，大学文化，毕业于西北师范大学。</w:t>
            </w:r>
          </w:p>
          <w:p w14:paraId="16C8775C">
            <w:pPr>
              <w:ind w:firstLine="360" w:firstLineChars="20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主要业绩：从事律师以来，办理了多起民商事案件及刑事案件，获得当事人认可。在合同纠纷、劳动争议以及刑事辩护等领域积累了丰富的办案经验。</w:t>
            </w:r>
          </w:p>
        </w:tc>
      </w:tr>
    </w:tbl>
    <w:p w14:paraId="66107206">
      <w:pPr>
        <w:ind w:firstLine="360" w:firstLineChars="200"/>
        <w:jc w:val="left"/>
        <w:rPr>
          <w:rFonts w:hint="eastAsia" w:ascii="宋体" w:hAnsi="宋体" w:eastAsia="宋体" w:cs="宋体"/>
          <w:sz w:val="18"/>
          <w:szCs w:val="18"/>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6"/>
        <w:gridCol w:w="4736"/>
      </w:tblGrid>
      <w:tr w14:paraId="01FB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69" w:type="dxa"/>
          </w:tcPr>
          <w:p w14:paraId="6A7B064A">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drawing>
                <wp:inline distT="0" distB="0" distL="114300" distR="114300">
                  <wp:extent cx="2260600" cy="2260600"/>
                  <wp:effectExtent l="0" t="0" r="6350" b="6350"/>
                  <wp:docPr id="5" name="图片 5" descr="于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于飞"/>
                          <pic:cNvPicPr>
                            <a:picLocks noChangeAspect="1"/>
                          </pic:cNvPicPr>
                        </pic:nvPicPr>
                        <pic:blipFill>
                          <a:blip r:embed="rId6"/>
                          <a:stretch>
                            <a:fillRect/>
                          </a:stretch>
                        </pic:blipFill>
                        <pic:spPr>
                          <a:xfrm>
                            <a:off x="0" y="0"/>
                            <a:ext cx="2260600" cy="2260600"/>
                          </a:xfrm>
                          <a:prstGeom prst="rect">
                            <a:avLst/>
                          </a:prstGeom>
                        </pic:spPr>
                      </pic:pic>
                    </a:graphicData>
                  </a:graphic>
                </wp:inline>
              </w:drawing>
            </w:r>
          </w:p>
        </w:tc>
        <w:tc>
          <w:tcPr>
            <w:tcW w:w="4853" w:type="dxa"/>
          </w:tcPr>
          <w:p w14:paraId="63858C23">
            <w:pPr>
              <w:ind w:firstLine="361" w:firstLineChars="200"/>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专业委员会副主任 (简介):</w:t>
            </w:r>
          </w:p>
          <w:p w14:paraId="0E31D3DC">
            <w:pPr>
              <w:ind w:firstLine="361" w:firstLineChars="200"/>
              <w:jc w:val="left"/>
              <w:rPr>
                <w:rFonts w:hint="eastAsia" w:ascii="宋体" w:hAnsi="宋体" w:eastAsia="宋体" w:cs="宋体"/>
                <w:b/>
                <w:bCs/>
                <w:sz w:val="18"/>
                <w:szCs w:val="18"/>
                <w:lang w:eastAsia="zh-CN"/>
              </w:rPr>
            </w:pPr>
          </w:p>
          <w:p w14:paraId="44658C35">
            <w:pPr>
              <w:ind w:firstLine="360" w:firstLineChars="20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于飞律师，毕业于国防科学技术大学，现为甘肃合睿律师事务所专职律师、第一党支部书记。</w:t>
            </w:r>
          </w:p>
          <w:p w14:paraId="6AF2E6B5">
            <w:pPr>
              <w:ind w:firstLine="360" w:firstLineChars="200"/>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曾从事多年管理与法律工作，执业以来为甘肃省第三人民医院、兰州市退役军人事务局、国药集团兰州生物制药有限公司、甘肃移动公司等企事业单位提供常年法律顾问服务。代理过医疗损害责任纠纷、劳动仲裁、机动车交通事故责任纠纷、民间借贷纠纷、婚姻继承纠纷、建设工程施工合同纠纷等各种类型诉讼，具有丰富的诉讼、非诉业务法律服务经验。</w:t>
            </w:r>
          </w:p>
        </w:tc>
      </w:tr>
    </w:tbl>
    <w:p w14:paraId="39CD1652">
      <w:pPr>
        <w:jc w:val="left"/>
        <w:rPr>
          <w:rFonts w:hint="eastAsia" w:ascii="宋体" w:hAnsi="宋体" w:eastAsia="宋体" w:cs="宋体"/>
          <w:sz w:val="18"/>
          <w:szCs w:val="18"/>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86"/>
        <w:gridCol w:w="4736"/>
      </w:tblGrid>
      <w:tr w14:paraId="7EA8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4" w:hRule="atLeast"/>
        </w:trPr>
        <w:tc>
          <w:tcPr>
            <w:tcW w:w="3684" w:type="dxa"/>
            <w:tcBorders>
              <w:bottom w:val="nil"/>
            </w:tcBorders>
          </w:tcPr>
          <w:p w14:paraId="65C22A84">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drawing>
                <wp:inline distT="0" distB="0" distL="114300" distR="114300">
                  <wp:extent cx="2261870" cy="2261870"/>
                  <wp:effectExtent l="0" t="0" r="5080" b="5080"/>
                  <wp:docPr id="6" name="图片 6" descr="陈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陈婕"/>
                          <pic:cNvPicPr>
                            <a:picLocks noChangeAspect="1"/>
                          </pic:cNvPicPr>
                        </pic:nvPicPr>
                        <pic:blipFill>
                          <a:blip r:embed="rId7"/>
                          <a:stretch>
                            <a:fillRect/>
                          </a:stretch>
                        </pic:blipFill>
                        <pic:spPr>
                          <a:xfrm>
                            <a:off x="0" y="0"/>
                            <a:ext cx="2261870" cy="2261870"/>
                          </a:xfrm>
                          <a:prstGeom prst="rect">
                            <a:avLst/>
                          </a:prstGeom>
                        </pic:spPr>
                      </pic:pic>
                    </a:graphicData>
                  </a:graphic>
                </wp:inline>
              </w:drawing>
            </w:r>
          </w:p>
        </w:tc>
        <w:tc>
          <w:tcPr>
            <w:tcW w:w="4838" w:type="dxa"/>
            <w:tcBorders>
              <w:bottom w:val="nil"/>
            </w:tcBorders>
          </w:tcPr>
          <w:p w14:paraId="6517258F">
            <w:pPr>
              <w:ind w:firstLine="361" w:firstLineChars="20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专业委员会秘书长(简介):</w:t>
            </w:r>
          </w:p>
          <w:p w14:paraId="7DB25443">
            <w:pPr>
              <w:ind w:firstLine="361" w:firstLineChars="200"/>
              <w:jc w:val="left"/>
              <w:rPr>
                <w:rFonts w:hint="eastAsia" w:ascii="宋体" w:hAnsi="宋体" w:eastAsia="宋体" w:cs="宋体"/>
                <w:b/>
                <w:bCs/>
                <w:sz w:val="18"/>
                <w:szCs w:val="18"/>
                <w:lang w:val="en-US" w:eastAsia="zh-CN"/>
              </w:rPr>
            </w:pPr>
          </w:p>
          <w:p w14:paraId="4D87729C">
            <w:pPr>
              <w:ind w:firstLine="360" w:firstLineChars="20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陈婕律师，女，汉族，本科毕业于兰州财经大学，研究生毕业于西北师范大学，法律硕士，现为甘肃合睿律师事务所专职律师，甘肃合睿律师事务所团支部副书记。陈婕律师思维严谨、待人真诚，自从事律师工作以来参与办理的各类民商事案件几十起，积</w:t>
            </w:r>
            <w:bookmarkStart w:id="0" w:name="_GoBack"/>
            <w:bookmarkEnd w:id="0"/>
            <w:r>
              <w:rPr>
                <w:rFonts w:hint="eastAsia" w:ascii="宋体" w:hAnsi="宋体" w:eastAsia="宋体" w:cs="宋体"/>
                <w:sz w:val="18"/>
                <w:szCs w:val="18"/>
                <w:vertAlign w:val="baseline"/>
                <w:lang w:val="en-US" w:eastAsia="zh-CN"/>
              </w:rPr>
              <w:t>累了较为丰富的法律服务经验。主要业务领域：民商事争议解决、合同案件、经济类案件、人身损害赔偿案件等。曾参与办理兰州农村商业银行金融借款合同纠纷、兰州中通道高速公路投资有限责任公司建设工程施工合同纠纷、宋某与兰州大学第二医院医疗损害责任纠纷</w:t>
            </w:r>
          </w:p>
        </w:tc>
      </w:tr>
      <w:tr w14:paraId="6E7F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22" w:type="dxa"/>
            <w:gridSpan w:val="2"/>
            <w:tcBorders>
              <w:top w:val="nil"/>
              <w:left w:val="nil"/>
              <w:bottom w:val="nil"/>
              <w:right w:val="nil"/>
            </w:tcBorders>
          </w:tcPr>
          <w:p w14:paraId="563AF1FB">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案、刘某与宕昌医院医疗损害责任纠纷案等。2024年荣获“优秀党员”荣誉称号。</w:t>
            </w:r>
          </w:p>
          <w:p w14:paraId="601BBC32">
            <w:pPr>
              <w:jc w:val="left"/>
              <w:rPr>
                <w:rFonts w:hint="eastAsia" w:ascii="宋体" w:hAnsi="宋体" w:eastAsia="宋体" w:cs="宋体"/>
                <w:sz w:val="18"/>
                <w:szCs w:val="18"/>
                <w:vertAlign w:val="baseline"/>
                <w:lang w:val="en-US" w:eastAsia="zh-CN"/>
              </w:rPr>
            </w:pPr>
          </w:p>
        </w:tc>
      </w:tr>
    </w:tbl>
    <w:p w14:paraId="316FB148">
      <w:pPr>
        <w:keepNext w:val="0"/>
        <w:keepLines w:val="0"/>
        <w:pageBreakBefore w:val="0"/>
        <w:widowControl w:val="0"/>
        <w:kinsoku/>
        <w:wordWrap/>
        <w:overflowPunct/>
        <w:topLinePunct w:val="0"/>
        <w:autoSpaceDE/>
        <w:autoSpaceDN/>
        <w:bidi w:val="0"/>
        <w:adjustRightInd/>
        <w:snapToGrid/>
        <w:spacing w:line="360" w:lineRule="exact"/>
        <w:ind w:left="540" w:hanging="540" w:hangingChars="30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专业委员会成员：</w:t>
      </w:r>
    </w:p>
    <w:p w14:paraId="1B25CB1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 w:firstLineChars="20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郑宝鹏、杨泽君、于飞、陈婕、王玉洁、石伟、赵志超、陈继荣、陈瑞珍、于文龙、甘小龙、雷晶晶、王纲、杨星雨、齐琛、苏婷婷、陈春霞、徐学堂。</w:t>
      </w:r>
    </w:p>
    <w:p w14:paraId="6A6C8C4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0" w:firstLineChars="200"/>
        <w:jc w:val="left"/>
        <w:textAlignment w:val="auto"/>
        <w:rPr>
          <w:rFonts w:hint="default" w:ascii="宋体" w:hAnsi="宋体" w:eastAsia="宋体" w:cs="宋体"/>
          <w:sz w:val="18"/>
          <w:szCs w:val="18"/>
          <w:lang w:val="en-US" w:eastAsia="zh-CN"/>
        </w:rPr>
      </w:pPr>
    </w:p>
    <w:p w14:paraId="566A72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二、业务范围</w:t>
      </w:r>
    </w:p>
    <w:p w14:paraId="06CD8D2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(一)医疗纠纷司法鉴定法律服务</w:t>
      </w:r>
    </w:p>
    <w:p w14:paraId="5436C9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1、病历资料分析:医疗过失与因果关系(参与度)、损伤与疾病关系、司法精神病因果关系、致伤方式损伤时间的推断、死亡原因与死亡方式、瑕疵病历专业论证;</w:t>
      </w:r>
    </w:p>
    <w:p w14:paraId="169DA2A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2、人体损伤程度评估:人体损伤程度(轻伤/重伤)、精神损伤程度;劳动能力;精神伤残程度人体伤残等级;损伤后三期评定(误工期、护理期、营养期);后续治疗评定等分析论证;</w:t>
      </w:r>
    </w:p>
    <w:p w14:paraId="0F0005F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3、法定能力、行为能力分析:刑事责任能力、民事行为能力、诉讼行为能力、受审能力、性自我防卫能力、服刑能力、受处罚能力、受劳动教养能力、作证能力、男子性功能评估、体液中乙醇含量测定;</w:t>
      </w:r>
    </w:p>
    <w:p w14:paraId="5AD72DE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4、司法鉴定指导:鉴定机构选择评估、鉴定意见维权、撰写司法鉴定陈述书、出席鉴定听证会;</w:t>
      </w:r>
    </w:p>
    <w:p w14:paraId="79A7AAE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5、不利鉴定审查:分析法医临床类、法医精神病类、法医病理类、法医物证类、法医毒物类司法鉴定意见的合法性、合理性;</w:t>
      </w:r>
    </w:p>
    <w:p w14:paraId="0824B1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6、专家出庭质证:专家辅助人/司法鉴定人出庭质证;</w:t>
      </w:r>
    </w:p>
    <w:p w14:paraId="794690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7、诉讼代理策划:诉讼价值评估、诉讼方案设计、不利判决分析、诉前谈判调解、出庭质证发表法律意见;</w:t>
      </w:r>
    </w:p>
    <w:p w14:paraId="1584C0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(二)医院法律服务:</w:t>
      </w:r>
    </w:p>
    <w:p w14:paraId="382E40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医护人员离职指导</w:t>
      </w:r>
    </w:p>
    <w:p w14:paraId="3AFA9B0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劳动人事制度设计</w:t>
      </w:r>
    </w:p>
    <w:p w14:paraId="0C78C4E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法人治理结构方案设计</w:t>
      </w:r>
    </w:p>
    <w:p w14:paraId="27436E3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医药卫生法律培训</w:t>
      </w:r>
    </w:p>
    <w:p w14:paraId="01532C0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知情同意书等文书的拟定、审核</w:t>
      </w:r>
    </w:p>
    <w:p w14:paraId="56988F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非法行医、商业贿赂等犯罪的预防</w:t>
      </w:r>
    </w:p>
    <w:p w14:paraId="747D24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(三)卫健委、医保局法律服务</w:t>
      </w:r>
    </w:p>
    <w:p w14:paraId="28B5DB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1、重大决策、发展规划、管理制度的风险评估、律论证、合法性及合规性审查</w:t>
      </w:r>
    </w:p>
    <w:p w14:paraId="21F61E1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2、立法项目和规范性文件的研究、论证</w:t>
      </w:r>
    </w:p>
    <w:p w14:paraId="4E315B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3、行政复议、行政诉讼案件的研究、论证</w:t>
      </w:r>
    </w:p>
    <w:p w14:paraId="3A1B76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4、诉讼案件的调查取证，代理出庭应诉</w:t>
      </w:r>
    </w:p>
    <w:p w14:paraId="1127FDC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5、重大建设项目、重要资产处置等法律咨询、论证</w:t>
      </w:r>
    </w:p>
    <w:p w14:paraId="43C5A6E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6、参与伦理委员会的讨论、论证</w:t>
      </w:r>
    </w:p>
    <w:p w14:paraId="26EEAE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7、参与合同、协议的起草、审查、洽谈</w:t>
      </w:r>
    </w:p>
    <w:p w14:paraId="27B03A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8、参与医疗纠纷、医患矛盾的调解与处置</w:t>
      </w:r>
    </w:p>
    <w:p w14:paraId="0897EF9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9、参与涉及社会稳定的重要事项、重大突发事件的法律咨询、论证</w:t>
      </w:r>
    </w:p>
    <w:p w14:paraId="3D599DA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10、聘请单位委托的其他工作</w:t>
      </w:r>
    </w:p>
    <w:p w14:paraId="28E6EA1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(四)医药企业及康养企业法律服务</w:t>
      </w:r>
    </w:p>
    <w:p w14:paraId="15C138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省委省政府十分重视陇药企业壮大和发展，着力打造大企业、大集团，提升陇药产业综合实力和核心竞争力，我们积极对接陇药企业康养企业，了解需求，提供法律。</w:t>
      </w:r>
    </w:p>
    <w:p w14:paraId="027D235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p>
    <w:p w14:paraId="61ABF99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三、联系方式</w:t>
      </w:r>
    </w:p>
    <w:p w14:paraId="764D4B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  任:郑宝鹏   电话:18894499415   电子邮箱:1461514940@qq.com</w:t>
      </w:r>
    </w:p>
    <w:p w14:paraId="02A864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default" w:ascii="宋体" w:hAnsi="宋体" w:eastAsia="宋体" w:cs="宋体"/>
          <w:sz w:val="18"/>
          <w:szCs w:val="18"/>
          <w:lang w:val="en-US" w:eastAsia="zh-CN"/>
        </w:rPr>
        <w:t>副主任:</w:t>
      </w:r>
      <w:r>
        <w:rPr>
          <w:rFonts w:hint="eastAsia" w:ascii="宋体" w:hAnsi="宋体" w:eastAsia="宋体" w:cs="宋体"/>
          <w:sz w:val="18"/>
          <w:szCs w:val="18"/>
          <w:lang w:val="en-US" w:eastAsia="zh-CN"/>
        </w:rPr>
        <w:t>杨泽君   电话:13893120115   电子邮箱:2670882470@qq.com</w:t>
      </w:r>
    </w:p>
    <w:p w14:paraId="00430B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副主任:</w:t>
      </w:r>
      <w:r>
        <w:rPr>
          <w:rFonts w:hint="eastAsia" w:ascii="宋体" w:hAnsi="宋体" w:eastAsia="宋体" w:cs="宋体"/>
          <w:sz w:val="18"/>
          <w:szCs w:val="18"/>
          <w:lang w:val="en-US" w:eastAsia="zh-CN"/>
        </w:rPr>
        <w:t>于  飞   电话:13919931494   电子邮箱:50870142@qq.com</w:t>
      </w:r>
    </w:p>
    <w:p w14:paraId="22DBEB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秘书长</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陈  婕   电话:15002591822   电子邮箱:361049441@qq.com</w:t>
      </w:r>
    </w:p>
    <w:sectPr>
      <w:pgSz w:w="11906" w:h="31181"/>
      <w:pgMar w:top="283" w:right="1800" w:bottom="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TA1OGY1NWI0MzNhMjAzNWZhMmFhZjdlZjBlNGUifQ=="/>
  </w:docVars>
  <w:rsids>
    <w:rsidRoot w:val="4FDF3805"/>
    <w:rsid w:val="00417EF4"/>
    <w:rsid w:val="0066795B"/>
    <w:rsid w:val="021D04ED"/>
    <w:rsid w:val="02FF41F8"/>
    <w:rsid w:val="0B3C7C36"/>
    <w:rsid w:val="0BD31C1D"/>
    <w:rsid w:val="0EF95E3E"/>
    <w:rsid w:val="0F403A6D"/>
    <w:rsid w:val="114415F3"/>
    <w:rsid w:val="13E7095B"/>
    <w:rsid w:val="14023C11"/>
    <w:rsid w:val="19630A84"/>
    <w:rsid w:val="1D8A4831"/>
    <w:rsid w:val="21B77BBF"/>
    <w:rsid w:val="22947F00"/>
    <w:rsid w:val="2B7A3C88"/>
    <w:rsid w:val="315E1689"/>
    <w:rsid w:val="32C75788"/>
    <w:rsid w:val="388F5EB6"/>
    <w:rsid w:val="390C0398"/>
    <w:rsid w:val="3BDD601C"/>
    <w:rsid w:val="3D7B5AED"/>
    <w:rsid w:val="3FA83BD4"/>
    <w:rsid w:val="4021297B"/>
    <w:rsid w:val="4087661F"/>
    <w:rsid w:val="44110F59"/>
    <w:rsid w:val="489363E0"/>
    <w:rsid w:val="4B321EE0"/>
    <w:rsid w:val="4CA566E2"/>
    <w:rsid w:val="4DA41E4C"/>
    <w:rsid w:val="4DEE5E67"/>
    <w:rsid w:val="4FDF3805"/>
    <w:rsid w:val="51114346"/>
    <w:rsid w:val="57DB56AE"/>
    <w:rsid w:val="5B1D52DB"/>
    <w:rsid w:val="5ED122DF"/>
    <w:rsid w:val="62AC310A"/>
    <w:rsid w:val="66652D12"/>
    <w:rsid w:val="66FE4F15"/>
    <w:rsid w:val="676A25AA"/>
    <w:rsid w:val="6896421F"/>
    <w:rsid w:val="69BD1D92"/>
    <w:rsid w:val="6A8219B9"/>
    <w:rsid w:val="6AC40FAD"/>
    <w:rsid w:val="6C8B0985"/>
    <w:rsid w:val="6F871F4B"/>
    <w:rsid w:val="732B0E40"/>
    <w:rsid w:val="75271ADB"/>
    <w:rsid w:val="78D73D02"/>
    <w:rsid w:val="7EDF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1931</Words>
  <Characters>2034</Characters>
  <Lines>0</Lines>
  <Paragraphs>0</Paragraphs>
  <TotalTime>13</TotalTime>
  <ScaleCrop>false</ScaleCrop>
  <LinksUpToDate>false</LinksUpToDate>
  <CharactersWithSpaces>2059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2024-02-18T08:37:00Z</dcterms:created>
  <dc:creator>（5）年前的他ゞ</dc:creator>
  <cp:lastModifiedBy>苡齐</cp:lastModifiedBy>
  <dcterms:modified xsi:type="dcterms:W3CDTF">2025-01-08T03:09:50Z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894277B6E4054BF0AB34989F9671527F_13</vt:lpwstr>
  </property>
  <property fmtid="{D5CDD505-2E9C-101B-9397-08002B2CF9AE}" pid="4" name="KSOTemplateDocerSaveRecord">
    <vt:lpwstr>eyJoZGlkIjoiMmI2YThmZGE2MmE3MjFlMTU2OWI2ZjJjOWRhYmM0MmEiLCJ1c2VySWQiOiIxMjMxNDg5OTQyIn0=</vt:lpwstr>
  </property>
</Properties>
</file>